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jc w:val="center"/>
        <w:rPr/>
      </w:pPr>
      <w:r>
        <w:rPr>
          <w:rFonts w:eastAsia="Arial"/>
          <w:b/>
          <w:i w:val="false"/>
          <w:sz w:val="30"/>
        </w:rPr>
        <w:t>Minimal Oncology Genetic Report Template</w:t>
      </w:r>
    </w:p>
    <w:p>
      <w:pPr>
        <w:pStyle w:val="Normal"/>
        <w:spacing w:before="0" w:after="160"/>
        <w:jc w:val="center"/>
        <w:rPr/>
      </w:pPr>
      <w:r>
        <w:rPr>
          <w:rFonts w:eastAsia="Arial"/>
          <w:b w:val="false"/>
          <w:i/>
          <w:sz w:val="18"/>
        </w:rPr>
        <w:t>A short POI-TL .docx template showing scalar fields, a looped table and a looped list.</w:t>
      </w:r>
    </w:p>
    <w:p>
      <w:pPr>
        <w:pStyle w:val="Normal"/>
        <w:rPr/>
      </w:pPr>
      <w:r>
        <w:rPr>
          <w:rFonts w:eastAsia="Arial"/>
          <w:b/>
          <w:i w:val="false"/>
          <w:sz w:val="19"/>
        </w:rPr>
        <w:t xml:space="preserve">Template purpose: </w:t>
      </w:r>
      <w:r>
        <w:rPr>
          <w:rFonts w:eastAsia="Arial"/>
          <w:b w:val="false"/>
          <w:i w:val="false"/>
          <w:sz w:val="19"/>
        </w:rPr>
        <w:t xml:space="preserve">This document is intentionally simple. It demonstrates where report metadata, clinical context and variant rows can be rendered by POI-TL using placeholders such as </w:t>
      </w:r>
      <w:r>
        <w:rPr>
          <w:rFonts w:eastAsia="Arial"/>
          <w:b/>
          <w:i w:val="false"/>
          <w:sz w:val="19"/>
        </w:rPr>
        <w:t>sampleName</w:t>
      </w:r>
      <w:r>
        <w:rPr>
          <w:rFonts w:eastAsia="Arial"/>
          <w:b w:val="false"/>
          <w:i w:val="false"/>
          <w:sz w:val="19"/>
        </w:rPr>
        <w:t xml:space="preserve"> and a collection named </w:t>
      </w:r>
      <w:r>
        <w:rPr>
          <w:rFonts w:eastAsia="Arial"/>
          <w:b/>
          <w:i w:val="false"/>
          <w:sz w:val="19"/>
        </w:rPr>
        <w:t>variants</w:t>
      </w:r>
      <w:r>
        <w:rPr>
          <w:rFonts w:eastAsia="Arial"/>
          <w:b w:val="false"/>
          <w:i w:val="false"/>
          <w:sz w:val="19"/>
        </w:rPr>
        <w:t>. Replace the instructional text with your final clinical wording later.</w:t>
      </w:r>
    </w:p>
    <w:p>
      <w:pPr>
        <w:pStyle w:val="Normal"/>
        <w:spacing w:before="200" w:after="80"/>
        <w:rPr/>
      </w:pPr>
      <w:r>
        <w:rPr>
          <w:rFonts w:eastAsia="Arial"/>
          <w:b/>
          <w:i w:val="false"/>
          <w:sz w:val="22"/>
        </w:rPr>
        <w:t>1. Report metadata and clinical context</w:t>
      </w:r>
    </w:p>
    <w:tbl>
      <w:tblPr>
        <w:tblW w:w="106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8"/>
        <w:gridCol w:w="5327"/>
      </w:tblGrid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Sample name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{{sampleName}}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Sample public ID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{{samplePublicId}}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Workspace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{{workspaceName}}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Report date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{{reportDate}}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Clinician / authenticated user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{{clinician}}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Diagnosis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{{diagnosis}}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Phenotype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{{phenotype}}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7"/>
              </w:rPr>
              <w:t>Free report text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7"/>
              </w:rPr>
              <w:t>{{reportText}}</w:t>
            </w:r>
          </w:p>
        </w:tc>
      </w:tr>
    </w:tbl>
    <w:p>
      <w:pPr>
        <w:pStyle w:val="Normal"/>
        <w:spacing w:before="0" w:after="100"/>
        <w:ind w:left="173"/>
        <w:rPr/>
      </w:pPr>
      <w:r>
        <w:rPr>
          <w:rFonts w:eastAsia="Arial"/>
          <w:b w:val="false"/>
          <w:i/>
          <w:sz w:val="17"/>
        </w:rPr>
        <w:t>Note for implementers: {{clinician}} is shown as a per-request field. It is not part of the static sample data map, but can be added from the authenticated user before rendering.</w:t>
      </w:r>
    </w:p>
    <w:p>
      <w:pPr>
        <w:pStyle w:val="Normal"/>
        <w:spacing w:before="200" w:after="80"/>
        <w:rPr/>
      </w:pPr>
      <w:r>
        <w:rPr>
          <w:rFonts w:eastAsia="Arial"/>
          <w:b/>
          <w:i w:val="false"/>
          <w:sz w:val="22"/>
        </w:rPr>
        <w:t>2. Clinical summary</w:t>
      </w:r>
    </w:p>
    <w:p>
      <w:pPr>
        <w:pStyle w:val="Normal"/>
        <w:rPr/>
      </w:pPr>
      <w:r>
        <w:rPr>
          <w:rFonts w:eastAsia="Arial"/>
          <w:b w:val="false"/>
          <w:i w:val="false"/>
          <w:sz w:val="19"/>
        </w:rPr>
        <w:t xml:space="preserve">This section is for a short oncologist-facing summary. In this example it reuses </w:t>
      </w:r>
      <w:r>
        <w:rPr>
          <w:rFonts w:eastAsia="Arial"/>
          <w:b/>
          <w:i w:val="false"/>
          <w:sz w:val="19"/>
        </w:rPr>
        <w:t>{{reportText}}</w:t>
      </w:r>
      <w:r>
        <w:rPr>
          <w:rFonts w:eastAsia="Arial"/>
          <w:b w:val="false"/>
          <w:i w:val="false"/>
          <w:sz w:val="19"/>
        </w:rPr>
        <w:t>. In a real template, this can be replaced with automatically generated interpretation text or a manually curated comment.</w:t>
      </w:r>
    </w:p>
    <w:p>
      <w:pPr>
        <w:pStyle w:val="Normal"/>
        <w:rPr/>
      </w:pPr>
      <w:r>
        <w:rPr>
          <w:rFonts w:eastAsia="Arial"/>
          <w:b/>
          <w:i w:val="false"/>
          <w:sz w:val="19"/>
        </w:rPr>
        <w:t xml:space="preserve">Summary text: </w:t>
      </w:r>
      <w:r>
        <w:rPr>
          <w:rFonts w:eastAsia="Arial"/>
          <w:b w:val="false"/>
          <w:i w:val="false"/>
          <w:sz w:val="19"/>
        </w:rPr>
        <w:t>{{reportText}}</w:t>
      </w:r>
    </w:p>
    <w:p>
      <w:pPr>
        <w:pStyle w:val="Normal"/>
        <w:spacing w:before="200" w:after="80"/>
        <w:rPr/>
      </w:pPr>
      <w:r>
        <w:rPr>
          <w:rFonts w:eastAsia="Arial"/>
          <w:b/>
          <w:i w:val="false"/>
          <w:sz w:val="22"/>
        </w:rPr>
        <w:t>3. Variant rows as a table</w:t>
      </w:r>
    </w:p>
    <w:p>
      <w:pPr>
        <w:pStyle w:val="Normal"/>
        <w:spacing w:before="0" w:after="100"/>
        <w:ind w:left="173"/>
        <w:rPr/>
      </w:pPr>
      <w:r>
        <w:rPr>
          <w:rFonts w:eastAsia="Arial"/>
          <w:b w:val="false"/>
          <w:i/>
          <w:sz w:val="17"/>
        </w:rPr>
        <w:t>This table demonstrates LoopRowTableRenderPolicy. Bind the collection name 'rows' to LoopRowTableRenderPolicy. The marker row {  rows  } is placed above the row to be repeated; the repeated row uses [fieldName] placeholders.</w:t>
      </w:r>
    </w:p>
    <w:tbl>
      <w:tblPr>
        <w:tblW w:w="106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31"/>
        <w:gridCol w:w="2131"/>
        <w:gridCol w:w="2131"/>
        <w:gridCol w:w="2131"/>
        <w:gridCol w:w="2131"/>
      </w:tblGrid>
      <w:tr>
        <w:trPr/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6"/>
              </w:rPr>
              <w:t>Gene / variant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6"/>
              </w:rPr>
              <w:t>HGVS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6"/>
              </w:rPr>
              <w:t>Classification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6"/>
              </w:rPr>
              <w:t>Frequencies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/>
                <w:sz w:val="16"/>
              </w:rPr>
              <w:t>Flags and comment</w:t>
            </w:r>
          </w:p>
        </w:tc>
      </w:tr>
      <w:tr>
        <w:trPr/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6"/>
              </w:rPr>
              <w:t>{{</w:t>
            </w:r>
            <w:r>
              <w:rPr>
                <w:rFonts w:eastAsia="Arial"/>
                <w:b w:val="false"/>
                <w:sz w:val="16"/>
              </w:rPr>
              <w:t>variantR</w:t>
            </w:r>
            <w:r>
              <w:rPr>
                <w:rFonts w:eastAsia="Arial"/>
                <w:b w:val="false"/>
                <w:sz w:val="16"/>
              </w:rPr>
              <w:t>ows}}</w:t>
            </w:r>
            <w:r>
              <w:rPr>
                <w:rFonts w:eastAsia="Arial"/>
                <w:b w:val="false"/>
                <w:sz w:val="15"/>
              </w:rPr>
              <w:t>[gene]</w:t>
              <w:br/>
              <w:t>[variantDisplay]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5"/>
              </w:rPr>
              <w:t>c: [hgvsC]</w:t>
              <w:br/>
              <w:t>p: [hgvsP]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5"/>
              </w:rPr>
              <w:t>[effects]</w:t>
              <w:br/>
              <w:t>[classification]</w:t>
              <w:br/>
              <w:t>[tier]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5"/>
              </w:rPr>
              <w:t>VAF: [vaf]</w:t>
              <w:br/>
              <w:t>AF: [af]</w:t>
              <w:br/>
              <w:t>AC: [ac]</w:t>
              <w:br/>
              <w:t>homAlt: [homalt]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/>
                <w:b w:val="false"/>
                <w:sz w:val="15"/>
              </w:rPr>
              <w:t>MANE: [mane]</w:t>
              <w:br/>
              <w:t>MANE Clinical: [maneClinical]</w:t>
              <w:br/>
              <w:t>[reportComment]</w:t>
            </w:r>
          </w:p>
        </w:tc>
      </w:tr>
    </w:tbl>
    <w:p>
      <w:pPr>
        <w:pStyle w:val="Normal"/>
        <w:spacing w:before="200" w:after="80"/>
        <w:rPr/>
      </w:pPr>
      <w:r>
        <w:rPr>
          <w:rFonts w:eastAsia="Arial"/>
          <w:b/>
          <w:i w:val="false"/>
          <w:sz w:val="22"/>
        </w:rPr>
        <w:t>4. Variant rows as a list</w:t>
      </w:r>
    </w:p>
    <w:p>
      <w:pPr>
        <w:pStyle w:val="Normal"/>
        <w:spacing w:before="0" w:after="100"/>
        <w:ind w:left="173"/>
        <w:rPr/>
      </w:pPr>
      <w:r>
        <w:rPr>
          <w:rFonts w:eastAsia="Arial"/>
          <w:b w:val="false"/>
          <w:i/>
          <w:sz w:val="17"/>
        </w:rPr>
        <w:t>This section demonstrates a normal POI-TL section loop over the same rows collection. It is useful when you want readable narrative blocks instead of a table.</w:t>
      </w:r>
    </w:p>
    <w:p>
      <w:pPr>
        <w:pStyle w:val="Normal"/>
        <w:spacing w:before="0" w:after="40"/>
        <w:rPr/>
      </w:pPr>
      <w:r>
        <w:rPr>
          <w:rFonts w:eastAsia="Arial"/>
          <w:b w:val="false"/>
          <w:i w:val="false"/>
          <w:sz w:val="18"/>
        </w:rPr>
        <w:t>{{?variants}}</w:t>
      </w:r>
    </w:p>
    <w:p>
      <w:pPr>
        <w:pStyle w:val="Normal"/>
        <w:spacing w:before="0" w:after="40"/>
        <w:ind w:hanging="173" w:left="259"/>
        <w:rPr/>
      </w:pPr>
      <w:r>
        <w:rPr>
          <w:rFonts w:eastAsia="Arial"/>
          <w:b w:val="false"/>
          <w:i w:val="false"/>
          <w:sz w:val="18"/>
        </w:rPr>
        <w:t xml:space="preserve">- </w:t>
      </w:r>
      <w:r>
        <w:rPr>
          <w:rFonts w:eastAsia="Arial"/>
          <w:b/>
          <w:i w:val="false"/>
          <w:sz w:val="18"/>
        </w:rPr>
        <w:t>{{gene}}</w:t>
      </w:r>
      <w:r>
        <w:rPr>
          <w:rFonts w:eastAsia="Arial"/>
          <w:b w:val="false"/>
          <w:i w:val="false"/>
          <w:sz w:val="18"/>
        </w:rPr>
        <w:t xml:space="preserve"> / {{variantDisplay}}: {{classification}} ({{tier}}), effect: {{effects}}.</w:t>
      </w:r>
    </w:p>
    <w:p>
      <w:pPr>
        <w:pStyle w:val="Normal"/>
        <w:spacing w:before="0" w:after="20"/>
        <w:ind w:left="432"/>
        <w:rPr/>
      </w:pPr>
      <w:r>
        <w:rPr>
          <w:rFonts w:eastAsia="Arial"/>
          <w:b w:val="false"/>
          <w:i w:val="false"/>
          <w:sz w:val="17"/>
        </w:rPr>
        <w:t>HGVS: {{hgvsC}}; {{hgvsP}}. Frequencies: VAF {{vaf}}, AF {{af}}, AC {{ac}}, homAlt {{homalt}}. Transcript flags: MANE={{mane}}, MANE Clinical={{maneClinical}}.</w:t>
      </w:r>
    </w:p>
    <w:p>
      <w:pPr>
        <w:pStyle w:val="Normal"/>
        <w:spacing w:before="0" w:after="100"/>
        <w:ind w:left="432"/>
        <w:rPr/>
      </w:pPr>
      <w:r>
        <w:rPr>
          <w:rFonts w:eastAsia="Arial"/>
          <w:b w:val="false"/>
          <w:i w:val="false"/>
          <w:sz w:val="17"/>
        </w:rPr>
        <w:t>Comment: {{reportComment}}</w:t>
      </w:r>
    </w:p>
    <w:p>
      <w:pPr>
        <w:pStyle w:val="Normal"/>
        <w:spacing w:before="0" w:after="120"/>
        <w:rPr/>
      </w:pPr>
      <w:r>
        <w:rPr>
          <w:rFonts w:eastAsia="Arial"/>
          <w:b w:val="false"/>
          <w:i w:val="false"/>
          <w:sz w:val="18"/>
        </w:rPr>
        <w:t>{{/variants}}</w:t>
      </w:r>
    </w:p>
    <w:p>
      <w:pPr>
        <w:pStyle w:val="Normal"/>
        <w:spacing w:before="200" w:after="80"/>
        <w:rPr/>
      </w:pPr>
      <w:r>
        <w:rPr>
          <w:rFonts w:eastAsia="Arial"/>
          <w:b/>
          <w:i w:val="false"/>
          <w:sz w:val="22"/>
        </w:rPr>
        <w:t>5. Minimal rendering notes</w:t>
      </w:r>
    </w:p>
    <w:p>
      <w:pPr>
        <w:pStyle w:val="Normal"/>
        <w:rPr/>
      </w:pPr>
      <w:r>
        <w:rPr>
          <w:rFonts w:eastAsia="Arial"/>
          <w:b/>
          <w:i w:val="false"/>
          <w:sz w:val="18"/>
        </w:rPr>
        <w:t>Suggested Java binding for the table example:</w:t>
      </w:r>
    </w:p>
    <w:p>
      <w:pPr>
        <w:pStyle w:val="Normal"/>
        <w:spacing w:before="0" w:after="20"/>
        <w:ind w:left="288"/>
        <w:rPr/>
      </w:pPr>
      <w:r>
        <w:rPr>
          <w:rFonts w:eastAsia="Arial"/>
          <w:b w:val="false"/>
          <w:i w:val="false"/>
          <w:sz w:val="17"/>
        </w:rPr>
        <w:t>LoopRowTableRenderPolicy rowPolicy = new LoopRowTableRenderPolicy();</w:t>
      </w:r>
    </w:p>
    <w:p>
      <w:pPr>
        <w:pStyle w:val="Normal"/>
        <w:spacing w:before="0" w:after="20"/>
        <w:ind w:left="288"/>
        <w:rPr/>
      </w:pPr>
      <w:r>
        <w:rPr>
          <w:rFonts w:eastAsia="Arial"/>
          <w:b w:val="false"/>
          <w:i w:val="false"/>
          <w:sz w:val="17"/>
        </w:rPr>
        <w:t>Configure config = Configure.builder().bind("rows", rowPolicy).build();</w:t>
      </w:r>
    </w:p>
    <w:p>
      <w:pPr>
        <w:pStyle w:val="Normal"/>
        <w:spacing w:before="0" w:after="20"/>
        <w:ind w:left="288"/>
        <w:rPr/>
      </w:pPr>
      <w:r>
        <w:rPr>
          <w:rFonts w:eastAsia="Arial"/>
          <w:b w:val="false"/>
          <w:i w:val="false"/>
          <w:sz w:val="17"/>
        </w:rPr>
        <w:t>XWPFTemplate.compile(templatePath, config).render(data).writeToFile(outputPath);</w:t>
      </w:r>
    </w:p>
    <w:p>
      <w:pPr>
        <w:pStyle w:val="Normal"/>
        <w:spacing w:before="60" w:after="200"/>
        <w:rPr/>
      </w:pPr>
      <w:r>
        <w:rPr>
          <w:rFonts w:eastAsia="Arial"/>
          <w:b/>
          <w:i w:val="false"/>
          <w:sz w:val="18"/>
        </w:rPr>
        <w:t xml:space="preserve">Design note: </w:t>
      </w:r>
      <w:r>
        <w:rPr>
          <w:rFonts w:eastAsia="Arial"/>
          <w:b w:val="false"/>
          <w:i w:val="false"/>
          <w:sz w:val="18"/>
        </w:rPr>
        <w:t>The document deliberately avoids colors. Use typography, spacing and table borders only. The final production template can keep this layout and replace the explanatory text with clinical report language.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92" w:right="792" w:gutter="0" w:header="360" w:top="792" w:footer="36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52" w:before="0" w:after="80"/>
      <w:jc w:val="center"/>
      <w:rPr/>
    </w:pPr>
    <w:r>
      <w:rPr>
        <w:rFonts w:eastAsia="Arial"/>
        <w:b w:val="false"/>
        <w:i w:val="false"/>
        <w:sz w:val="16"/>
      </w:rPr>
      <w:t>Example template only - not a clinical report | Report date: {{reportDate}}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52" w:before="0" w:after="80"/>
      <w:jc w:val="center"/>
      <w:rPr/>
    </w:pPr>
    <w:r>
      <w:rPr>
        <w:rFonts w:eastAsia="Arial"/>
        <w:b w:val="false"/>
        <w:i w:val="false"/>
        <w:sz w:val="16"/>
      </w:rPr>
      <w:t>Example template only - not a clinical report | Report date: {{reportDate}}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52" w:before="0" w:after="80"/>
      <w:jc w:val="center"/>
      <w:rPr/>
    </w:pPr>
    <w:r>
      <w:rPr>
        <w:rFonts w:eastAsia="Arial"/>
        <w:b w:val="false"/>
        <w:i w:val="false"/>
        <w:sz w:val="17"/>
      </w:rPr>
      <w:t>GeneBe POI-TL report template | Sample: {{samplePublicId}}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52" w:before="0" w:after="80"/>
      <w:jc w:val="center"/>
      <w:rPr/>
    </w:pPr>
    <w:r>
      <w:rPr>
        <w:rFonts w:eastAsia="Arial"/>
        <w:b w:val="false"/>
        <w:i w:val="false"/>
        <w:sz w:val="17"/>
      </w:rPr>
      <w:t>GeneBe POI-TL report template | Sample: {{samplePublicId}}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" w:cstheme="minorBidi"/>
      <w:color w:val="auto"/>
      <w:kern w:val="0"/>
      <w:sz w:val="19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LibreOffice/25.2.3.2$Linux_X86_64 LibreOffice_project/520$Build-2</Application>
  <AppVersion>15.0000</AppVersion>
  <Pages>1</Pages>
  <Words>383</Words>
  <Characters>2547</Characters>
  <CharactersWithSpaces>2879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2026-05-19T13:36:38Z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